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80" w:after="80"/>
        <w:jc w:val="center"/>
      </w:pPr>
      <w:r>
        <w:rPr>
          <w:rFonts w:ascii="Calibri" w:hAnsi="Calibri" w:eastAsia="Calibri"/>
          <w:b/>
          <w:i w:val="0"/>
          <w:color w:val="2E74B5"/>
          <w:sz w:val="19"/>
        </w:rPr>
        <w:t>ОБРАЗЕЦ • ГРУЗИЯ</w:t>
      </w:r>
    </w:p>
    <w:p>
      <w:pPr>
        <w:keepNext/>
        <w:spacing w:before="0" w:after="120"/>
        <w:jc w:val="center"/>
      </w:pPr>
      <w:r>
        <w:rPr>
          <w:rFonts w:ascii="Calibri" w:hAnsi="Calibri" w:eastAsia="Calibri"/>
          <w:b/>
          <w:i w:val="0"/>
          <w:color w:val="0B2545"/>
          <w:sz w:val="38"/>
        </w:rPr>
        <w:t>ДОВЕРЕННОСТЬ ПО НАСЛЕДСТВЕННОМУ</w:t>
        <w:br/>
        <w:t>ДЕЛУ</w:t>
      </w:r>
    </w:p>
    <w:p>
      <w:pPr>
        <w:spacing w:before="0" w:after="280"/>
        <w:jc w:val="center"/>
      </w:pPr>
      <w:r>
        <w:rPr>
          <w:rFonts w:ascii="Calibri" w:hAnsi="Calibri" w:eastAsia="Calibri"/>
          <w:b w:val="0"/>
          <w:i/>
          <w:color w:val="5E6670"/>
          <w:sz w:val="22"/>
        </w:rPr>
        <w:t>Конструктор полномочий наследника для конкретного нотариального производства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  <w:shd w:fill="FFF8E8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5A4300"/>
                <w:sz w:val="20"/>
              </w:rPr>
              <w:t>Важно: это информационный образец, а не готовый к подписанию документ. Необходимые полномочия, форма удостоверения, срок и ограничения выбираются под конкретную задачу и проверяются юристом, нотариусом либо принимающей организацией.</w:t>
            </w:r>
          </w:p>
        </w:tc>
      </w:tr>
    </w:tbl>
    <w:p>
      <w:pPr>
        <w:spacing w:after="0"/>
      </w:pPr>
    </w:p>
    <w:p>
      <w:pPr>
        <w:pStyle w:val="Heading1"/>
      </w:pPr>
      <w:r>
        <w:t>1. Участники и наследственное дело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Доверитель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[ФИО наследника и идентификационные данные]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Представитель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[ФИО и идентификационные данные]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Наследодатель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[ФИО, дата смерти, последнее место жительства]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Основание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[закон / завещание / иное]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Нотариус / дело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[если уже определены]</w:t>
            </w:r>
          </w:p>
        </w:tc>
      </w:tr>
    </w:tbl>
    <w:p>
      <w:pPr>
        <w:pStyle w:val="Heading2"/>
      </w:pPr>
      <w:r>
        <w:t>2. Нотариальное производство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00"/>
        <w:gridCol w:w="8460"/>
      </w:tblGrid>
      <w:tr>
        <w:trPr>
          <w:tblHeader w:val="true"/>
          <w:cantSplit/>
        </w:trPr>
        <w:tc>
          <w:tcPr>
            <w:tcW w:type="dxa" w:w="9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keepNext/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Выбор</w:t>
            </w:r>
          </w:p>
        </w:tc>
        <w:tc>
          <w:tcPr>
            <w:tcW w:type="dxa" w:w="846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keepNext/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Полномочие / условие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Подать заявление о принятии наследства — только если доверитель прямо выбрал это действие.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Представлять документы о родстве, завещании, месте открытия наследства и составе имущества.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Получать сведения о ходе дела и устранять формальные недостатки.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Получить свидетельство о праве на наследство или мотивированный отказ.</w:t>
            </w:r>
          </w:p>
        </w:tc>
      </w:tr>
    </w:tbl>
    <w:p>
      <w:pPr>
        <w:pStyle w:val="Heading2"/>
      </w:pPr>
      <w:r>
        <w:t>3. Имущество и регистрация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00"/>
        <w:gridCol w:w="8460"/>
      </w:tblGrid>
      <w:tr>
        <w:trPr>
          <w:tblHeader w:val="true"/>
          <w:cantSplit/>
        </w:trPr>
        <w:tc>
          <w:tcPr>
            <w:tcW w:type="dxa" w:w="9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keepNext/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Выбор</w:t>
            </w:r>
          </w:p>
        </w:tc>
        <w:tc>
          <w:tcPr>
            <w:tcW w:type="dxa" w:w="846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keepNext/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Полномочие / условие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Заказывать выписки и справки об указанном имуществе наследодателя.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Подать документы на регистрацию уже подтвержденного наследственного права.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Получить регистрационное решение и выписку.</w:t>
            </w:r>
          </w:p>
        </w:tc>
      </w:tr>
    </w:tbl>
    <w:p>
      <w:pPr>
        <w:pStyle w:val="Heading2"/>
      </w:pPr>
      <w:r>
        <w:t>4. Повышенный риск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00"/>
        <w:gridCol w:w="8460"/>
      </w:tblGrid>
      <w:tr>
        <w:trPr>
          <w:tblHeader w:val="true"/>
          <w:cantSplit/>
        </w:trPr>
        <w:tc>
          <w:tcPr>
            <w:tcW w:type="dxa" w:w="9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keepNext/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Выбор</w:t>
            </w:r>
          </w:p>
        </w:tc>
        <w:tc>
          <w:tcPr>
            <w:tcW w:type="dxa" w:w="846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keepNext/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Полномочие / условие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Отказаться от наследства — только при отдельной индивидуальной формулировке.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Заключить соглашение о разделе наследства — в пределах: [указать].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Получить деньги или имущество — конкретный вид, способ и предел: [указать].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  <w:shd w:fill="FFF8E8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5A4300"/>
                <w:sz w:val="20"/>
              </w:rPr>
              <w:t>Принятие, отказ, раздел наследства и получение имущества имеют разные последствия. Каждый такой пункт выбирается отдельно после проверки срока, круга наследников и применимого права.</w:t>
            </w:r>
          </w:p>
        </w:tc>
      </w:tr>
    </w:tbl>
    <w:p>
      <w:pPr>
        <w:spacing w:after="0"/>
      </w:pPr>
    </w:p>
    <w:p>
      <w:pPr>
        <w:pStyle w:val="Heading1"/>
      </w:pPr>
      <w:r>
        <w:t>Подписание и оформление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Срок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[до даты / на период / до выполнения конкретного поручения]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Передоверие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[запрещено / разрешено только в указанном объеме]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Место и дата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[место] / [дата]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Подпись доверителя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____________________________________________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Удостоверение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[заполняется уполномоченным лицом, если требуется]</w:t>
            </w:r>
          </w:p>
        </w:tc>
      </w:tr>
    </w:tbl>
    <w:p>
      <w:pPr>
        <w:pStyle w:val="Heading1"/>
      </w:pPr>
      <w:r>
        <w:t>Официальные источники</w:t>
      </w:r>
    </w:p>
    <w:p>
      <w:pPr>
        <w:spacing w:after="80"/>
      </w:pPr>
      <w:r>
        <w:rPr>
          <w:rFonts w:ascii="Calibri" w:hAnsi="Calibri" w:eastAsia="Calibri"/>
          <w:b w:val="0"/>
          <w:i w:val="0"/>
          <w:color w:val="5E6670"/>
          <w:sz w:val="19"/>
        </w:rPr>
        <w:t xml:space="preserve">Гражданский кодекс Грузии: </w:t>
      </w:r>
      <w:hyperlink r:id="rId11">
        <w:r>
          <w:rPr>
            <w:color w:val="2E74B5"/>
            <w:u w:val="single"/>
          </w:rPr>
          <w:t>Matsne</w:t>
        </w:r>
      </w:hyperlink>
    </w:p>
    <w:p>
      <w:pPr>
        <w:spacing w:after="80"/>
      </w:pPr>
      <w:r>
        <w:rPr>
          <w:rFonts w:ascii="Calibri" w:hAnsi="Calibri" w:eastAsia="Calibri"/>
          <w:b w:val="0"/>
          <w:i w:val="0"/>
          <w:color w:val="5E6670"/>
          <w:sz w:val="19"/>
        </w:rPr>
        <w:t xml:space="preserve">Закон Грузии «О нотариате»: </w:t>
      </w:r>
      <w:hyperlink r:id="rId12">
        <w:r>
          <w:rPr>
            <w:color w:val="2E74B5"/>
            <w:u w:val="single"/>
          </w:rPr>
          <w:t>Matsne</w:t>
        </w:r>
      </w:hyperlink>
    </w:p>
    <w:p>
      <w:pPr>
        <w:spacing w:after="80"/>
      </w:pPr>
      <w:r>
        <w:rPr>
          <w:rFonts w:ascii="Calibri" w:hAnsi="Calibri" w:eastAsia="Calibri"/>
          <w:b w:val="0"/>
          <w:i w:val="0"/>
          <w:color w:val="5E6670"/>
          <w:sz w:val="19"/>
        </w:rPr>
        <w:t xml:space="preserve">Национальное агентство публичного реестра: </w:t>
      </w:r>
      <w:hyperlink r:id="rId13">
        <w:r>
          <w:rPr>
            <w:color w:val="2E74B5"/>
            <w:u w:val="single"/>
          </w:rPr>
          <w:t>официальный сайт</w:t>
        </w:r>
      </w:hyperlink>
    </w:p>
    <w:p>
      <w:pPr>
        <w:spacing w:after="160"/>
      </w:pPr>
      <w:r>
        <w:rPr>
          <w:rFonts w:ascii="Calibri" w:hAnsi="Calibri" w:eastAsia="Calibri"/>
          <w:b w:val="0"/>
          <w:i/>
          <w:color w:val="5E6670"/>
          <w:sz w:val="19"/>
        </w:rPr>
        <w:t>Дата проверки источников: 02.09.2026.</w:t>
      </w:r>
    </w:p>
    <w:p>
      <w:pPr>
        <w:spacing w:before="200" w:after="0"/>
        <w:jc w:val="center"/>
      </w:pPr>
      <w:r>
        <w:rPr>
          <w:rFonts w:ascii="Calibri" w:hAnsi="Calibri" w:eastAsia="Calibri"/>
          <w:b/>
          <w:i w:val="0"/>
          <w:color w:val="2E74B5"/>
          <w:sz w:val="19"/>
        </w:rPr>
        <w:t>YURFIRMA • Индивидуальная подготовка документов: https://yurfirma.ge</w:t>
      </w:r>
    </w:p>
    <w:sectPr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right"/>
    </w:pPr>
    <w:r>
      <w:rPr>
        <w:rFonts w:ascii="Calibri" w:hAnsi="Calibri" w:eastAsia="Calibri"/>
        <w:b w:val="0"/>
        <w:i w:val="0"/>
        <w:color w:val="5E6670"/>
        <w:sz w:val="18"/>
      </w:rPr>
      <w:t xml:space="preserve">Страница </w:t>
    </w:r>
    <w:r>
      <w:rPr>
        <w:rFonts w:ascii="Calibri" w:hAnsi="Calibri" w:eastAsia="Calibri"/>
        <w:b w:val="0"/>
        <w:i w:val="0"/>
        <w:color w:val="5E6670"/>
        <w:sz w:val="18"/>
      </w:rPr>
      <w:fldChar w:fldCharType="begin"/>
      <w:instrText xml:space="preserve">PAGE</w:instrText>
      <w:fldChar w:fldCharType="separate"/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rFonts w:ascii="Calibri" w:hAnsi="Calibri" w:eastAsia="Calibri"/>
        <w:b/>
        <w:i w:val="0"/>
        <w:color w:val="5E6670"/>
        <w:sz w:val="18"/>
      </w:rPr>
      <w:t>YURFIRMA  |  Образец документа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83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matsne.gov.ge/ka/document/view/31702" TargetMode="External"/><Relationship Id="rId12" Type="http://schemas.openxmlformats.org/officeDocument/2006/relationships/hyperlink" Target="https://www.matsne.gov.ge/ka/document/view/90928" TargetMode="External"/><Relationship Id="rId13" Type="http://schemas.openxmlformats.org/officeDocument/2006/relationships/hyperlink" Target="https://napr.gov.g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По Наследственному Делу — образец</dc:title>
  <dc:subject>Конструктор полномочий наследника для конкретного нотариального производства</dc:subject>
  <dc:creator/>
  <cp:keywords>Доверенности, образец, документ, Грузия, YURFIRMA</cp:keywords>
  <dc:description>Не содержит персональных данных, клиентских идентификаторов, банковских реквизитов или цен из исходного корпуса.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