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80"/>
        <w:jc w:val="center"/>
      </w:pPr>
      <w:r>
        <w:rPr>
          <w:rFonts w:ascii="Calibri" w:hAnsi="Calibri" w:eastAsia="Calibri"/>
          <w:b/>
          <w:i w:val="0"/>
          <w:color w:val="2E74B5"/>
          <w:sz w:val="19"/>
        </w:rPr>
        <w:t>ОБРАЗЕЦ • ГРУЗИЯ</w:t>
      </w:r>
    </w:p>
    <w:p>
      <w:pPr>
        <w:keepNext/>
        <w:spacing w:before="0" w:after="120"/>
        <w:jc w:val="center"/>
      </w:pPr>
      <w:r>
        <w:rPr>
          <w:rFonts w:ascii="Calibri" w:hAnsi="Calibri" w:eastAsia="Calibri"/>
          <w:b/>
          <w:i w:val="0"/>
          <w:color w:val="0B2545"/>
          <w:sz w:val="38"/>
        </w:rPr>
        <w:t>ДОВЕРЕННОСТЬ НА УПРАВЛЕНИЕ</w:t>
        <w:br/>
        <w:t>И АРЕНДУ НЕДВИЖИМОСТИ</w:t>
      </w:r>
    </w:p>
    <w:p>
      <w:pPr>
        <w:spacing w:before="0" w:after="280"/>
        <w:jc w:val="center"/>
      </w:pPr>
      <w:r>
        <w:rPr>
          <w:rFonts w:ascii="Calibri" w:hAnsi="Calibri" w:eastAsia="Calibri"/>
          <w:b w:val="0"/>
          <w:i/>
          <w:color w:val="5E6670"/>
          <w:sz w:val="22"/>
        </w:rPr>
        <w:t>Конструктор полномочий собственника без автоматического права продажи или обременения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FF8E8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5A4300"/>
                <w:sz w:val="20"/>
              </w:rPr>
              <w:t>Важно: это информационный образец, а не готовый к подписанию документ. Необходимые полномочия, форма удостоверения, срок и ограничения выбираются под конкретную задачу и проверяются юристом, нотариусом либо принимающей организацией.</w:t>
            </w:r>
          </w:p>
        </w:tc>
      </w:tr>
    </w:tbl>
    <w:p>
      <w:pPr>
        <w:spacing w:after="0"/>
      </w:pPr>
    </w:p>
    <w:p>
      <w:pPr>
        <w:pStyle w:val="Heading1"/>
      </w:pPr>
      <w:r>
        <w:t>1. Стороны и объект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Собственник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[ФИО / наименование и идентификационные данные]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Представитель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[ФИО и идентификационные данные]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Объект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[адрес, кадастровый код, тип и площадь]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Цель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[управление / сдача в аренду / обслуживание]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Лимиты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[срок аренды, минимальная плата, бюджет расходов]</w:t>
            </w:r>
          </w:p>
        </w:tc>
      </w:tr>
    </w:tbl>
    <w:p>
      <w:pPr>
        <w:pStyle w:val="Heading2"/>
      </w:pPr>
      <w:r>
        <w:t>2. Управление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00"/>
        <w:gridCol w:w="8460"/>
      </w:tblGrid>
      <w:tr>
        <w:trPr>
          <w:tblHeader w:val="true"/>
          <w:cantSplit/>
        </w:trPr>
        <w:tc>
          <w:tcPr>
            <w:tcW w:type="dxa" w:w="9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Выбор</w:t>
            </w:r>
          </w:p>
        </w:tc>
        <w:tc>
          <w:tcPr>
            <w:tcW w:type="dxa" w:w="846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Полномочие / условие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Взаимодействовать с коммунальными и обслуживающими организациями.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Заказывать ремонт и обслуживание в пределах согласованного бюджета.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Получать счета, акты и технические документы по объекту.</w:t>
            </w:r>
          </w:p>
        </w:tc>
      </w:tr>
    </w:tbl>
    <w:p>
      <w:pPr>
        <w:pStyle w:val="Heading2"/>
      </w:pPr>
      <w:r>
        <w:t>3. Аренда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00"/>
        <w:gridCol w:w="8460"/>
      </w:tblGrid>
      <w:tr>
        <w:trPr>
          <w:tblHeader w:val="true"/>
          <w:cantSplit/>
        </w:trPr>
        <w:tc>
          <w:tcPr>
            <w:tcW w:type="dxa" w:w="9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Выбор</w:t>
            </w:r>
          </w:p>
        </w:tc>
        <w:tc>
          <w:tcPr>
            <w:tcW w:type="dxa" w:w="846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Полномочие / условие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Размещать предложение и вести переговоры в установленных пределах.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Подписать договор аренды на срок и по ставке не ниже указанных.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Подписывать акты приема-передачи, опись и уведомления по договору.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Получать арендную плату или депозит только выбранным способом: [указать].</w:t>
            </w:r>
          </w:p>
        </w:tc>
      </w:tr>
    </w:tbl>
    <w:p>
      <w:pPr>
        <w:pStyle w:val="Heading2"/>
      </w:pPr>
      <w:r>
        <w:t>4. Контроль и отчетность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00"/>
        <w:gridCol w:w="8460"/>
      </w:tblGrid>
      <w:tr>
        <w:trPr>
          <w:tblHeader w:val="true"/>
          <w:cantSplit/>
        </w:trPr>
        <w:tc>
          <w:tcPr>
            <w:tcW w:type="dxa" w:w="9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Выбор</w:t>
            </w:r>
          </w:p>
        </w:tc>
        <w:tc>
          <w:tcPr>
            <w:tcW w:type="dxa" w:w="846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Полномочие / условие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Вести учет поступлений и расходов и представлять отчет с подтверждающими документами.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Направлять арендатору уведомления о нарушении и требовать устранения.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Расторгнуть договор только при наступлении условий: [указать].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FF8E8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5A4300"/>
                <w:sz w:val="20"/>
              </w:rPr>
              <w:t>Продажа, дарение, ипотека, заем, распоряжение ценой объекта и свободное получение денег не входят в управление и требуют отдельного прямого полномочия.</w:t>
            </w:r>
          </w:p>
        </w:tc>
      </w:tr>
    </w:tbl>
    <w:p>
      <w:pPr>
        <w:spacing w:after="0"/>
      </w:pPr>
    </w:p>
    <w:p>
      <w:pPr>
        <w:pStyle w:val="Heading1"/>
      </w:pPr>
      <w:r>
        <w:t>Подписание и оформление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Срок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[до даты / на период / до выполнения конкретного поручения]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Передоверие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[запрещено / разрешено только в указанном объеме]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Место и дата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[место] / [дата]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Подпись доверителя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Удостоверение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[заполняется уполномоченным лицом, если требуется]</w:t>
            </w:r>
          </w:p>
        </w:tc>
      </w:tr>
    </w:tbl>
    <w:p>
      <w:pPr>
        <w:pStyle w:val="Heading1"/>
      </w:pPr>
      <w:r>
        <w:t>Официальные источники</w:t>
      </w:r>
    </w:p>
    <w:p>
      <w:pPr>
        <w:spacing w:after="80"/>
      </w:pPr>
      <w:r>
        <w:rPr>
          <w:rFonts w:ascii="Calibri" w:hAnsi="Calibri" w:eastAsia="Calibri"/>
          <w:b w:val="0"/>
          <w:i w:val="0"/>
          <w:color w:val="5E6670"/>
          <w:sz w:val="19"/>
        </w:rPr>
        <w:t xml:space="preserve">Гражданский кодекс Грузии: </w:t>
      </w:r>
      <w:hyperlink r:id="rId11">
        <w:r>
          <w:rPr>
            <w:color w:val="2E74B5"/>
            <w:u w:val="single"/>
          </w:rPr>
          <w:t>Matsne</w:t>
        </w:r>
      </w:hyperlink>
    </w:p>
    <w:p>
      <w:pPr>
        <w:spacing w:after="80"/>
      </w:pPr>
      <w:r>
        <w:rPr>
          <w:rFonts w:ascii="Calibri" w:hAnsi="Calibri" w:eastAsia="Calibri"/>
          <w:b w:val="0"/>
          <w:i w:val="0"/>
          <w:color w:val="5E6670"/>
          <w:sz w:val="19"/>
        </w:rPr>
        <w:t xml:space="preserve">Закон Грузии «О нотариате»: </w:t>
      </w:r>
      <w:hyperlink r:id="rId12">
        <w:r>
          <w:rPr>
            <w:color w:val="2E74B5"/>
            <w:u w:val="single"/>
          </w:rPr>
          <w:t>Matsne</w:t>
        </w:r>
      </w:hyperlink>
    </w:p>
    <w:p>
      <w:pPr>
        <w:spacing w:after="80"/>
      </w:pPr>
      <w:r>
        <w:rPr>
          <w:rFonts w:ascii="Calibri" w:hAnsi="Calibri" w:eastAsia="Calibri"/>
          <w:b w:val="0"/>
          <w:i w:val="0"/>
          <w:color w:val="5E6670"/>
          <w:sz w:val="19"/>
        </w:rPr>
        <w:t xml:space="preserve">Национальное агентство публичного реестра: </w:t>
      </w:r>
      <w:hyperlink r:id="rId13">
        <w:r>
          <w:rPr>
            <w:color w:val="2E74B5"/>
            <w:u w:val="single"/>
          </w:rPr>
          <w:t>официальный сайт</w:t>
        </w:r>
      </w:hyperlink>
    </w:p>
    <w:p>
      <w:pPr>
        <w:spacing w:after="160"/>
      </w:pPr>
      <w:r>
        <w:rPr>
          <w:rFonts w:ascii="Calibri" w:hAnsi="Calibri" w:eastAsia="Calibri"/>
          <w:b w:val="0"/>
          <w:i/>
          <w:color w:val="5E6670"/>
          <w:sz w:val="19"/>
        </w:rPr>
        <w:t>Дата проверки источников: 02.09.2026.</w:t>
      </w:r>
    </w:p>
    <w:p>
      <w:pPr>
        <w:spacing w:before="200" w:after="0"/>
        <w:jc w:val="center"/>
      </w:pPr>
      <w:r>
        <w:rPr>
          <w:rFonts w:ascii="Calibri" w:hAnsi="Calibri" w:eastAsia="Calibri"/>
          <w:b/>
          <w:i w:val="0"/>
          <w:color w:val="2E74B5"/>
          <w:sz w:val="19"/>
        </w:rPr>
        <w:t>YURFIRMA • Индивидуальная подготовка документов: https://yurfirma.ge</w:t>
      </w:r>
    </w:p>
    <w:sectPr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Calibri" w:hAnsi="Calibri" w:eastAsia="Calibri"/>
        <w:b w:val="0"/>
        <w:i w:val="0"/>
        <w:color w:val="5E6670"/>
        <w:sz w:val="18"/>
      </w:rPr>
      <w:t xml:space="preserve">Страница </w:t>
    </w:r>
    <w:r>
      <w:rPr>
        <w:rFonts w:ascii="Calibri" w:hAnsi="Calibri" w:eastAsia="Calibri"/>
        <w:b w:val="0"/>
        <w:i w:val="0"/>
        <w:color w:val="5E6670"/>
        <w:sz w:val="18"/>
      </w:rPr>
      <w:fldChar w:fldCharType="begin"/>
      <w:instrText xml:space="preserve">PAGE</w:instrText>
      <w:fldChar w:fldCharType="separate"/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eastAsia="Calibri"/>
        <w:b/>
        <w:i w:val="0"/>
        <w:color w:val="5E6670"/>
        <w:sz w:val="18"/>
      </w:rPr>
      <w:t>YURFIRMA  |  Образец документа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83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matsne.gov.ge/ka/document/view/31702" TargetMode="External"/><Relationship Id="rId12" Type="http://schemas.openxmlformats.org/officeDocument/2006/relationships/hyperlink" Target="https://www.matsne.gov.ge/ka/document/view/90928" TargetMode="External"/><Relationship Id="rId13" Type="http://schemas.openxmlformats.org/officeDocument/2006/relationships/hyperlink" Target="https://napr.gov.g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Управление И Аренду Недвижимости — образец</dc:title>
  <dc:subject>Конструктор полномочий собственника без автоматического права продажи или обременения</dc:subject>
  <dc:creator/>
  <cp:keywords>Доверенности, образец, документ, Грузия, YURFIRMA</cp:keywords>
  <dc:description>Не содержит персональных данных, клиентских идентификаторов, банковских реквизитов или цен из исходного корпуса.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