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8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ОБРАЗЕЦ • ГРУЗИЯ</w:t>
      </w:r>
    </w:p>
    <w:p>
      <w:pPr>
        <w:keepNext/>
        <w:spacing w:before="0" w:after="120"/>
        <w:jc w:val="center"/>
      </w:pPr>
      <w:r>
        <w:rPr>
          <w:rFonts w:ascii="Calibri" w:hAnsi="Calibri" w:eastAsia="Calibri"/>
          <w:b/>
          <w:i w:val="0"/>
          <w:color w:val="0B2545"/>
          <w:sz w:val="38"/>
        </w:rPr>
        <w:t>ЗАЯВЛЕНИЕ О ПРИНЯТИИ</w:t>
        <w:br/>
        <w:t>НАСЛЕДСТВА</w:t>
      </w:r>
    </w:p>
    <w:p>
      <w:pPr>
        <w:spacing w:before="0" w:after="280"/>
        <w:jc w:val="center"/>
      </w:pPr>
      <w:r>
        <w:rPr>
          <w:rFonts w:ascii="Calibri" w:hAnsi="Calibri" w:eastAsia="Calibri"/>
          <w:b w:val="0"/>
          <w:i/>
          <w:color w:val="5E6670"/>
          <w:sz w:val="22"/>
        </w:rPr>
        <w:t>Рабочий образец волеизъявления наследника для нотариального дела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Важно: это информационный образец, а не готовый к подписанию документ. Необходимые полномочия, форма удостоверения, срок и ограничения выбираются под конкретную задачу и проверяются юристом, нотариусом либо принимающей организацией.</w:t>
            </w:r>
          </w:p>
        </w:tc>
      </w:tr>
    </w:tbl>
    <w:p>
      <w:pPr>
        <w:spacing w:after="0"/>
      </w:pPr>
    </w:p>
    <w:p>
      <w:pPr>
        <w:pStyle w:val="Heading1"/>
      </w:pPr>
      <w:r>
        <w:t>1. Наследник и наследодатель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Адресат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[нотариус / нотариальное бюро]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Наследник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идентификационные данные, адрес]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Наследодатель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[ФИО, дата смерти, последнее место жительства]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Основание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[по закону / по завещанию]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Родство / завещание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[подтверждающий документ]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Дело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[номер, если открыт]</w:t>
            </w:r>
          </w:p>
        </w:tc>
      </w:tr>
    </w:tbl>
    <w:p>
      <w:pPr>
        <w:pStyle w:val="Heading2"/>
      </w:pPr>
      <w:r>
        <w:t>2. Волеизъявление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Принять причитающееся наследство в предусмотренном законом объеме.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Приобщить перечисленные доказательства к наследственному делу.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Сообщить заявителю о недостающих документах и дальнейшей процедуре.</w:t>
            </w:r>
          </w:p>
        </w:tc>
      </w:tr>
    </w:tbl>
    <w:p>
      <w:pPr>
        <w:pStyle w:val="Heading2"/>
      </w:pPr>
      <w:r>
        <w:t>3. Известные сведения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00"/>
        <w:gridCol w:w="8460"/>
      </w:tblGrid>
      <w:tr>
        <w:trPr>
          <w:tblHeader w:val="true"/>
          <w:cantSplit/>
        </w:trPr>
        <w:tc>
          <w:tcPr>
            <w:tcW w:type="dxa" w:w="9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Выбор</w:t>
            </w:r>
          </w:p>
        </w:tc>
        <w:tc>
          <w:tcPr>
            <w:tcW w:type="dxa" w:w="846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keepNext/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Полномочие / условие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Указать известных наследников: [перечень либо отметка об отсутствии сведений].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Указать известное имущество и обязательства наследодателя.</w:t>
            </w:r>
          </w:p>
        </w:tc>
      </w:tr>
      <w:tr>
        <w:trPr>
          <w:cantSplit/>
        </w:trPr>
        <w:tc>
          <w:tcPr>
            <w:tcW w:type="dxa" w:w="90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4"/>
              </w:rPr>
              <w:t>☐</w:t>
            </w:r>
          </w:p>
        </w:tc>
        <w:tc>
          <w:tcPr>
            <w:tcW w:type="dxa" w:w="84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Указать сведения о завещании или другом открытом деле, если известны.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  <w:shd w:fill="FFF8E8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5A4300"/>
                <w:sz w:val="20"/>
              </w:rPr>
              <w:t>Срок и способ принятия наследства проверяются индивидуально. Этот образец не подтверждает соблюдение срока и не заменяет консультацию о долгах, обязательной доле и применимом праве.</w:t>
            </w:r>
          </w:p>
        </w:tc>
      </w:tr>
    </w:tbl>
    <w:p>
      <w:pPr>
        <w:spacing w:after="0"/>
      </w:pPr>
    </w:p>
    <w:p>
      <w:pPr>
        <w:pStyle w:val="Heading1"/>
      </w:pPr>
      <w:r>
        <w:t>Подписание и оформление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Место и дата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[место] / [дата]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Заявитель / подписант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[ФИО и статус]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Подпись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Приложения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[перечень подтверждающих документов]</w:t>
            </w:r>
          </w:p>
        </w:tc>
      </w:tr>
      <w:tr>
        <w:trPr>
          <w:cantSplit/>
        </w:trPr>
        <w:tc>
          <w:tcPr>
            <w:tcW w:type="dxa" w:w="2700"/>
            <w:shd w:fill="E8EEF5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/>
                <w:i w:val="0"/>
                <w:color w:val="0B2545"/>
                <w:sz w:val="20"/>
              </w:rPr>
              <w:t>Удостоверение</w:t>
            </w:r>
          </w:p>
        </w:tc>
        <w:tc>
          <w:tcPr>
            <w:tcW w:type="dxa" w:w="6660"/>
            <w:tcMar>
              <w:top w:w="55" w:type="dxa"/>
              <w:start w:w="120" w:type="dxa"/>
              <w:bottom w:w="55" w:type="dxa"/>
              <w:end w:w="120" w:type="dxa"/>
            </w:tcMar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rFonts w:ascii="Calibri" w:hAnsi="Calibri" w:eastAsia="Calibri"/>
                <w:b w:val="0"/>
                <w:i w:val="0"/>
                <w:color w:val="000000"/>
                <w:sz w:val="20"/>
              </w:rPr>
              <w:t>[только если требуется для конкретной процедуры]</w:t>
            </w:r>
          </w:p>
        </w:tc>
      </w:tr>
    </w:tbl>
    <w:p>
      <w:pPr>
        <w:pStyle w:val="Heading1"/>
      </w:pPr>
      <w:r>
        <w:t>Официальные источники</w:t>
      </w:r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Гражданский кодекс Грузии: </w:t>
      </w:r>
      <w:hyperlink r:id="rId11">
        <w:r>
          <w:rPr>
            <w:color w:val="2E74B5"/>
            <w:u w:val="single"/>
          </w:rPr>
          <w:t>Matsne</w:t>
        </w:r>
      </w:hyperlink>
    </w:p>
    <w:p>
      <w:pPr>
        <w:spacing w:after="80"/>
      </w:pPr>
      <w:r>
        <w:rPr>
          <w:rFonts w:ascii="Calibri" w:hAnsi="Calibri" w:eastAsia="Calibri"/>
          <w:b w:val="0"/>
          <w:i w:val="0"/>
          <w:color w:val="5E6670"/>
          <w:sz w:val="19"/>
        </w:rPr>
        <w:t xml:space="preserve">Закон Грузии «О нотариате»: </w:t>
      </w:r>
      <w:hyperlink r:id="rId12">
        <w:r>
          <w:rPr>
            <w:color w:val="2E74B5"/>
            <w:u w:val="single"/>
          </w:rPr>
          <w:t>Matsne</w:t>
        </w:r>
      </w:hyperlink>
    </w:p>
    <w:p>
      <w:pPr>
        <w:spacing w:after="160"/>
      </w:pPr>
      <w:r>
        <w:rPr>
          <w:rFonts w:ascii="Calibri" w:hAnsi="Calibri" w:eastAsia="Calibri"/>
          <w:b w:val="0"/>
          <w:i/>
          <w:color w:val="5E6670"/>
          <w:sz w:val="19"/>
        </w:rPr>
        <w:t>Дата проверки источников: 02.09.2026.</w:t>
      </w:r>
    </w:p>
    <w:p>
      <w:pPr>
        <w:spacing w:before="200" w:after="0"/>
        <w:jc w:val="center"/>
      </w:pPr>
      <w:r>
        <w:rPr>
          <w:rFonts w:ascii="Calibri" w:hAnsi="Calibri" w:eastAsia="Calibri"/>
          <w:b/>
          <w:i w:val="0"/>
          <w:color w:val="2E74B5"/>
          <w:sz w:val="19"/>
        </w:rPr>
        <w:t>YURFIRMA • Индивидуальная подготовка документов: https://yurfirma.ge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 w:eastAsia="Calibri"/>
        <w:b w:val="0"/>
        <w:i w:val="0"/>
        <w:color w:val="5E6670"/>
        <w:sz w:val="18"/>
      </w:rPr>
      <w:t xml:space="preserve">Страница </w:t>
    </w:r>
    <w:r>
      <w:rPr>
        <w:rFonts w:ascii="Calibri" w:hAnsi="Calibri" w:eastAsia="Calibri"/>
        <w:b w:val="0"/>
        <w:i w:val="0"/>
        <w:color w:val="5E6670"/>
        <w:sz w:val="18"/>
      </w:rPr>
      <w:fldChar w:fldCharType="begin"/>
      <w:instrText xml:space="preserve">PAGE</w:instrText>
      <w:fldChar w:fldCharType="separate"/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i w:val="0"/>
        <w:color w:val="5E6670"/>
        <w:sz w:val="18"/>
      </w:rPr>
      <w:t>YURFIRMA  |  Образец документа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matsne.gov.ge/ka/document/view/31702" TargetMode="External"/><Relationship Id="rId12" Type="http://schemas.openxmlformats.org/officeDocument/2006/relationships/hyperlink" Target="https://www.matsne.gov.ge/ka/document/view/909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— образец</dc:title>
  <dc:subject>Рабочий образец волеизъявления наследника для нотариального дела</dc:subject>
  <dc:creator/>
  <cp:keywords>Наследство, образец, документ, Грузия, YURFIRMA</cp:keywords>
  <dc:description>Не содержит персональных данных, клиентских идентификаторов, банковских реквизитов или цен из исходного корпуса.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